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Федеральное государственное бюджетное образовательное учреждение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высшего образования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Московский государственный университет имени М.В. Ломоносова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Филологический факультет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Кафедра теоретической и прикладной лингвистики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94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УТВЕРЖДАЮ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68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И.о. декана филологического факультета МГУ имени М.В. Ломоносова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68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профессор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468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94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______________А.А. Липгарт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594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«</w:t>
      </w:r>
      <w:r w:rsidDel="00000000" w:rsidR="00000000" w:rsidRPr="00000000">
        <w:rPr>
          <w:sz w:val="24"/>
          <w:szCs w:val="24"/>
          <w:rtl w:val="0"/>
        </w:rPr>
        <w:t xml:space="preserve">30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» </w:t>
      </w:r>
      <w:r w:rsidDel="00000000" w:rsidR="00000000" w:rsidRPr="00000000">
        <w:rPr>
          <w:sz w:val="24"/>
          <w:szCs w:val="24"/>
          <w:rtl w:val="0"/>
        </w:rPr>
        <w:t xml:space="preserve">августа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2023 г.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РАБОЧАЯ ПРОГРАММА ДИСЦИПЛИНЫ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Наименование дисциплины: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СОВРЕМЕННЫЙ РУССКИЙ ЯЗЫК: СЕМАНТИКА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Уровень высшего образования: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БАКАЛАВРИАТ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ff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Направление подготовки: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45.03.03 «ФУНДАМЕНТАЛЬНАЯ И ПРИКЛАДНАЯ ЛИНГВИСТИКА»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Форма обучения: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ОЧНАЯ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Рабочая программа рассмотрена и одобрена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на заседании кафедры теоретической и прикладной лингвистики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(протокол №9, </w:t>
      </w:r>
      <w:r w:rsidDel="00000000" w:rsidR="00000000" w:rsidRPr="00000000">
        <w:rPr>
          <w:sz w:val="24"/>
          <w:szCs w:val="24"/>
          <w:rtl w:val="0"/>
        </w:rPr>
        <w:t xml:space="preserve">28 августа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2023 г.)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Москва 20</w:t>
      </w:r>
      <w:r w:rsidDel="00000000" w:rsidR="00000000" w:rsidRPr="00000000">
        <w:rPr>
          <w:sz w:val="24"/>
          <w:szCs w:val="24"/>
          <w:rtl w:val="0"/>
        </w:rPr>
        <w:t xml:space="preserve">23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Рабочая программа дисциплины разработана в соответствии с 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 «Фундаментальная и прикладная лингвистика»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программы бакалавриата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 редакции приказа МГУ от 30 декабря 2016 г.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Год (годы) приема на обучение: 2019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pgSz w:h="16838" w:w="11906" w:orient="portrait"/>
          <w:pgMar w:bottom="1134" w:top="1134" w:left="1701" w:right="850" w:header="708" w:footer="708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Место дисциплины в структуре ОПОП ВО: относится к базовой части ОПОП ВО.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highlight w:val="yellow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Входные требования для освоения дисциплины, предварительные условия (если есть): отсутствуют.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Результаты обучения по дисциплине, соотнесенные с требуемыми компетенциями выпускников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8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629"/>
        <w:gridCol w:w="5758"/>
        <w:tblGridChange w:id="0">
          <w:tblGrid>
            <w:gridCol w:w="3629"/>
            <w:gridCol w:w="575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Компетенции выпускников (коды)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Планируемые результаты обучения по дисциплине, соотнесенные с компетенциями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ОПК-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1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.Б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Способен решать профессиональные задачи, применяя основные понятия, категории и положения лингвистических теорий и актуальные концепции в области лингвистики.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Знать: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основные неграмматические семантические категории, проявляющимися в языковом поведении единиц разных частей речи в русском языке;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семантические категории для модальных предикатов возможности и долженствования;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основные параметры семантической классификации служебных частей речи;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основные семантические противопоставления в рамках прагмасемантических типов простых предложений в русском языке.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Уметь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определять значение неграматических семантических категорий русской лексики с использованием соответствующих диагностик;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определять границы и внутреннюю структуру тематических семантических классов лексики с применением семантического тестирования;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формально представлять структуру лексического значения слова в контексте;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определять семантические сферы действия операторных слов;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формально представлять семантическую структуру предложений основных прагмасемантических типов.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Владеть: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принципами выявления неграмматических семантических категорий лексики;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методами описания лексических значений слов;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основными способами репрезентации семантической структуры прагмасемантических типов предложений.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ПК-</w:t>
            </w: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3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.Б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Владеет основными методами анализа звучащей речи и ее акустических характеристик, способами описания семантической и прагматической информации, содержащейся в тексте на естественном языке, методами анализа синтаксической структуры языковых выражений, макроструктуры и микроструктуры дискурса, умеет подбирать оптимальные методики описания и анализа для решения конкретных задач.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Знать: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основные понятия семантики и лексикологии;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типы языковых значений;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основные типы лексической информации;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правила взаимодействия значений.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Уметь: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описывать значение слов с учетом всех типов лексической информации (денотативной, сигнификативной, прагматической, синтаксической);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интерпретировать слово в составе предложения.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Владеть: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методами семантического описания слов, фразеологических конструкций, предложений русского языка;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основными метаязыковыми средствами формальной репрезентации значения и смысла языковых выражений.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Формат обучения _______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_________________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Объем дисциплины составляет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3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з.е., в том числе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36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академических часа, отведенных на контактную работу обучающихся с преподавателем,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72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академических часа на самостоятельную работу обучающихся. 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 Содержание дисциплины, структурированное по темам (разделам) с указанием отведенного на них количества академических часов и виды учебных занятий.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nextPage"/>
          <w:pgSz w:h="16838" w:w="11906" w:orient="portrait"/>
          <w:pgMar w:bottom="1134" w:top="1134" w:left="1701" w:right="850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1" w:rightFromText="181" w:topFromText="0" w:bottomFromText="0" w:vertAnchor="text" w:horzAnchor="text" w:tblpX="1010" w:tblpY="239"/>
        <w:tblW w:w="1499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637"/>
        <w:gridCol w:w="1089"/>
        <w:gridCol w:w="6"/>
        <w:gridCol w:w="2220"/>
        <w:gridCol w:w="1620"/>
        <w:gridCol w:w="1440"/>
        <w:gridCol w:w="2978"/>
        <w:tblGridChange w:id="0">
          <w:tblGrid>
            <w:gridCol w:w="5637"/>
            <w:gridCol w:w="1089"/>
            <w:gridCol w:w="6"/>
            <w:gridCol w:w="2220"/>
            <w:gridCol w:w="1620"/>
            <w:gridCol w:w="1440"/>
            <w:gridCol w:w="2978"/>
          </w:tblGrid>
        </w:tblGridChange>
      </w:tblGrid>
      <w:tr>
        <w:trPr>
          <w:cantSplit w:val="1"/>
          <w:trHeight w:val="135" w:hRule="atLeast"/>
          <w:tblHeader w:val="1"/>
        </w:trPr>
        <w:tc>
          <w:tcPr>
            <w:vMerge w:val="restart"/>
            <w:vAlign w:val="top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Наименование и краткое содержание разделов и тем дисциплины,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Форма промежуточной аттестации по дисциплине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restart"/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Всего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(часы нарастающим итогом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 том числе</w:t>
            </w:r>
          </w:p>
        </w:tc>
      </w:tr>
      <w:tr>
        <w:trPr>
          <w:cantSplit w:val="1"/>
          <w:trHeight w:val="135" w:hRule="atLeast"/>
          <w:tblHeader w:val="1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Контактная работа </w:t>
              <w:br w:type="textWrapping"/>
              <w:t xml:space="preserve">(работа во взаимодействии с преподавателем)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Виды контактной работы, часы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Самостоятельная работа обучающегося,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часы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(виды самостоятельной работы – эссе, реферат, контрольная работа и пр. – указываются при необходимости)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1835" w:hRule="atLeast"/>
          <w:tblHeader w:val="1"/>
        </w:trPr>
        <w:tc>
          <w:tcPr>
            <w:vMerge w:val="continue"/>
            <w:vAlign w:val="top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Merge w:val="continue"/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Занятия лекционного типа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13" w:right="113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Занятия семинарского типа</w:t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Всего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Семантические категории предикатов, отражающие отношение обозначаемой ситуации к оси времени («акциональные классы»), и ее контролируемость со стороны субъекта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ДЗ-1;</w:t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ДЗ-2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Импликативные типы предикатов с предикатным актантом и факторы изменения импликативного типа 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  <w:br w:type="textWrapping"/>
              <w:t xml:space="preserve">ДЗ-3</w:t>
            </w:r>
          </w:p>
        </w:tc>
      </w:tr>
      <w:tr>
        <w:trPr>
          <w:cantSplit w:val="0"/>
          <w:trHeight w:val="58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Категория перформативности глагола. Выводима ли перформативность глагола из его лексического значения?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  <w:br w:type="textWrapping"/>
              <w:t xml:space="preserve">ДЗ-4</w:t>
            </w:r>
          </w:p>
        </w:tc>
      </w:tr>
      <w:tr>
        <w:trPr>
          <w:cantSplit w:val="0"/>
          <w:trHeight w:val="58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Семантика модальных предикатов возможности и долженствования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  <w:br w:type="textWrapping"/>
              <w:t xml:space="preserve">ДЗ-5</w:t>
            </w:r>
          </w:p>
        </w:tc>
      </w:tr>
      <w:tr>
        <w:trPr>
          <w:cantSplit w:val="0"/>
          <w:trHeight w:val="58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Проблема выделения лексико-семантического (тематического) класса предикатов, его ядра и периферии (на примере глаголов речи)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  <w:br w:type="textWrapping"/>
              <w:t xml:space="preserve">ДЗ-6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Различия в логическом и коммуникативном статусе компонентов значения как фактор расхождения ЛСВ слова по разным тематическим классам (на примере глагола бояться)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  <w:br w:type="textWrapping"/>
              <w:t xml:space="preserve">ДЗ-7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Скрытые категории конкретного имени: топологический тип и эталонность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  <w:br w:type="textWrapping"/>
              <w:t xml:space="preserve">ДЗ-8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Категория определенности/неопределенности ИГ в русском языке, ее прямые и косвенные показатели. Семантика указательных, неопределенных и универсальных местоимений.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58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  <w:br w:type="textWrapping"/>
              <w:t xml:space="preserve">ДЗ-9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Семантические категории русского прилагательного 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64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  <w:br w:type="textWrapping"/>
              <w:t xml:space="preserve">Подготовка к проверочной работе (тест)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Семантические категории русских наречий. Семантика вводных слов как адвербиалов с прагматическим значением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  <w:br w:type="textWrapping"/>
              <w:t xml:space="preserve">Подготовка к проверочной работе (тест)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Семантика русских предлогов. Описание значения предлогов методами структурной и когнитивной семантики.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  <w:br w:type="textWrapping"/>
              <w:t xml:space="preserve">Подготовка к проверочной работе (тест)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Семантика русских частиц: логических (на примере отрицатель-ных) и модальных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  <w:br w:type="textWrapping"/>
              <w:t xml:space="preserve">Подготовка к проверочной работе (тест)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Семантика русских союзов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88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  <w:br w:type="textWrapping"/>
              <w:t xml:space="preserve">Подготовка к проверочной работе (тест)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Семантика русских вопросительных и побудительных предложений 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96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  <w:br w:type="textWrapping"/>
              <w:t xml:space="preserve">Самостоятельное повторение пройденного материала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D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Консультация</w:t>
            </w:r>
          </w:p>
        </w:tc>
        <w:tc>
          <w:tcPr>
            <w:gridSpan w:val="2"/>
            <w:vAlign w:val="top"/>
          </w:tcPr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D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Самостоятельное повторение пройденного материала</w:t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Промежуточная аттестация: экзамен </w:t>
            </w:r>
          </w:p>
          <w:p w:rsidR="00000000" w:rsidDel="00000000" w:rsidP="00000000" w:rsidRDefault="00000000" w:rsidRPr="00000000" w14:paraId="000000E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(форма проведения – устная).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vAlign w:val="top"/>
          </w:tcPr>
          <w:p w:rsidR="00000000" w:rsidDel="00000000" w:rsidP="00000000" w:rsidRDefault="00000000" w:rsidRPr="00000000" w14:paraId="000000E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E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Итого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E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108</w:t>
            </w:r>
          </w:p>
        </w:tc>
        <w:tc>
          <w:tcPr>
            <w:gridSpan w:val="4"/>
            <w:vAlign w:val="top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F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yellow"/>
                <w:u w:val="none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sectPr>
          <w:type w:val="nextPage"/>
          <w:pgSz w:h="11906" w:w="16838" w:orient="landscape"/>
          <w:pgMar w:bottom="851" w:top="1701" w:left="90" w:right="1134" w:header="709" w:footer="709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 Фонд оценочных средств (ФОС) для оценивания результатов обучения по дисциплине.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7.1. Типовые контрольные задания или иные материалы для проведения текущего контроля успеваемости.</w:t>
      </w:r>
    </w:p>
    <w:p w:rsidR="00000000" w:rsidDel="00000000" w:rsidP="00000000" w:rsidRDefault="00000000" w:rsidRPr="00000000" w14:paraId="000000F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Примеры контрольных заданий.</w:t>
      </w:r>
    </w:p>
    <w:p w:rsidR="00000000" w:rsidDel="00000000" w:rsidP="00000000" w:rsidRDefault="00000000" w:rsidRPr="00000000" w14:paraId="000000F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Выберите правильный ответ:</w:t>
      </w:r>
    </w:p>
    <w:p w:rsidR="00000000" w:rsidDel="00000000" w:rsidP="00000000" w:rsidRDefault="00000000" w:rsidRPr="00000000" w14:paraId="000000F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а) Все прилагательные имеют предикатное употребление (да, нет)</w:t>
      </w:r>
    </w:p>
    <w:p w:rsidR="00000000" w:rsidDel="00000000" w:rsidP="00000000" w:rsidRDefault="00000000" w:rsidRPr="00000000" w14:paraId="000000F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б) Если прилагательное имеет предикатное употребление, то у него есть краткая форма (да, нет)</w:t>
      </w:r>
    </w:p>
    <w:p w:rsidR="00000000" w:rsidDel="00000000" w:rsidP="00000000" w:rsidRDefault="00000000" w:rsidRPr="00000000" w14:paraId="000000F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в) Эмпирийные прилагательные — это то же, что качественные (да, нет)</w:t>
      </w:r>
    </w:p>
    <w:p w:rsidR="00000000" w:rsidDel="00000000" w:rsidP="00000000" w:rsidRDefault="00000000" w:rsidRPr="00000000" w14:paraId="000000F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г) Параметрические прилагательные обладают свойством предельности (да, нет, не все)</w:t>
      </w:r>
    </w:p>
    <w:p w:rsidR="00000000" w:rsidDel="00000000" w:rsidP="00000000" w:rsidRDefault="00000000" w:rsidRPr="00000000" w14:paraId="000000F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д) В русском языке прилагательные в именной группе (строго упорядочены в соответствии с иерархией семантических классов, могут следовать в любом порядке, ни то ни другое)</w:t>
      </w:r>
    </w:p>
    <w:p w:rsidR="00000000" w:rsidDel="00000000" w:rsidP="00000000" w:rsidRDefault="00000000" w:rsidRPr="00000000" w14:paraId="0000010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Заполните пробел, выбрав нужное заполнение из материала, заключенного в скобки:</w:t>
      </w:r>
    </w:p>
    <w:p w:rsidR="00000000" w:rsidDel="00000000" w:rsidP="00000000" w:rsidRDefault="00000000" w:rsidRPr="00000000" w14:paraId="000001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Предложение Х синтаксически ... (общеотрицательное, частноотрицательное), семантически … (общеотрицательное, частноотрицательное).</w:t>
      </w:r>
    </w:p>
    <w:p w:rsidR="00000000" w:rsidDel="00000000" w:rsidP="00000000" w:rsidRDefault="00000000" w:rsidRPr="00000000" w14:paraId="000001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Выполните задание.</w:t>
      </w:r>
    </w:p>
    <w:p w:rsidR="00000000" w:rsidDel="00000000" w:rsidP="00000000" w:rsidRDefault="00000000" w:rsidRPr="00000000" w14:paraId="000001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ДЗ-1. а) В приведенном отрывке из текста охарактеризуйте все предикаты, употребленные в финитной форме, по семантическому типу. Аргументируйте свое решение при помощи максимального числа диагностик, приведенных в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Булыгина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1982; б) определите место каждого такого предиката в фундаментальной классификации из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Апресян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2009 </w:t>
      </w:r>
    </w:p>
    <w:p w:rsidR="00000000" w:rsidDel="00000000" w:rsidP="00000000" w:rsidRDefault="00000000" w:rsidRPr="00000000" w14:paraId="000001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ДЗ-2. Используя максимальное число диагностик, приведенных в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Булыгина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1982, определите, какие из предикатов списка Х ведут себя как контролируемые или как неконтролируемые или проявляют свойства и тех, и других.</w:t>
      </w:r>
    </w:p>
    <w:p w:rsidR="00000000" w:rsidDel="00000000" w:rsidP="00000000" w:rsidRDefault="00000000" w:rsidRPr="00000000" w14:paraId="000001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ДЗ-3. Определите импликативный тип (ИТ) каждого предиката из списка Х. Укажите, какие из них могут менять свой ИТ и в каких условиях, подтвердив это примерами.</w:t>
      </w:r>
    </w:p>
    <w:p w:rsidR="00000000" w:rsidDel="00000000" w:rsidP="00000000" w:rsidRDefault="00000000" w:rsidRPr="00000000" w14:paraId="000001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ДЗ-4. I. Среди глаголов из списка Х выделите перформативные и полуперформативные (дефектные перформативы) по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Кобозева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1986. Для каждого из них:</w:t>
      </w:r>
    </w:p>
    <w:p w:rsidR="00000000" w:rsidDel="00000000" w:rsidP="00000000" w:rsidRDefault="00000000" w:rsidRPr="00000000" w14:paraId="000001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1) укажите иллокутивный класс (по классификации Серля или Баха-Харниша);</w:t>
      </w:r>
    </w:p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2) для дефектных перформативов перечислите все грамматические формы, в которых данный глагол имеет перформативное употребление (с краткими примерами).</w:t>
      </w:r>
    </w:p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II. Возьмите любой перформативный глагол из списка и по образцу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Апресян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1995 покажите отличие его синтаксических, семантических и прагматических свойств в перформативном употреблении от тех, какие он имеет де в дескриптивном (= неперфрмативном) употреблении.</w:t>
      </w:r>
    </w:p>
    <w:p w:rsidR="00000000" w:rsidDel="00000000" w:rsidP="00000000" w:rsidRDefault="00000000" w:rsidRPr="00000000" w14:paraId="000001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III. Объясните, по каким причинам являются неперформативными остальные глаголы из приведенного списка (см.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Кобозева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1986)</w:t>
      </w:r>
    </w:p>
    <w:p w:rsidR="00000000" w:rsidDel="00000000" w:rsidP="00000000" w:rsidRDefault="00000000" w:rsidRPr="00000000" w14:paraId="000001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ДЗ-5. Определите: а) в каком из своих значений выступает предикат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мочь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в примерах списка Х; б) в каком из своих значений выступает предикат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должен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в примерах списка Y</w:t>
      </w:r>
    </w:p>
    <w:p w:rsidR="00000000" w:rsidDel="00000000" w:rsidP="00000000" w:rsidRDefault="00000000" w:rsidRPr="00000000" w14:paraId="000001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ДЗ-6. Предложите формулировки семантических тестов для определения границ семантического класса глаголов эмоционального состояния</w:t>
      </w:r>
    </w:p>
    <w:p w:rsidR="00000000" w:rsidDel="00000000" w:rsidP="00000000" w:rsidRDefault="00000000" w:rsidRPr="00000000" w14:paraId="000001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ДЗ-7. Выберите 5 глаголов из разных подклассов глаголов эмоционального состояния, истолкованных в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Иорданская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1971. Укажите логический статус каждого из входящих в толкование этих глаголов компонентов (ассертивный, пресуппозиционный, ни тот ни другой).</w:t>
      </w:r>
    </w:p>
    <w:p w:rsidR="00000000" w:rsidDel="00000000" w:rsidP="00000000" w:rsidRDefault="00000000" w:rsidRPr="00000000" w14:paraId="000001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ДЗ-8. а) Определите топологический тип объекта, обозначенного каждым именем из списка Х, проведя проверку на сочетаемость этого имени с прилагательными размера; обоснуйте свое решение данными проведенной проверки;</w:t>
      </w:r>
    </w:p>
    <w:p w:rsidR="00000000" w:rsidDel="00000000" w:rsidP="00000000" w:rsidRDefault="00000000" w:rsidRPr="00000000" w14:paraId="000001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б) Определите, какие из имен списка Y принадлежат к категории эталонных и обоснуйте свое решение, приведя соответствующие языковые данные</w:t>
      </w:r>
    </w:p>
    <w:p w:rsidR="00000000" w:rsidDel="00000000" w:rsidP="00000000" w:rsidRDefault="00000000" w:rsidRPr="00000000" w14:paraId="000001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ДЗ-9. В отрывке из текста Х определите денотативный статус (ДС) каждой именной группы. Для ИГ с нулевым актуализатором укажите имеющиеся в тексте косвенные индикаторы категорий референтности / нереферентности и определенности / неопределенности ИГ.</w:t>
      </w:r>
    </w:p>
    <w:p w:rsidR="00000000" w:rsidDel="00000000" w:rsidP="00000000" w:rsidRDefault="00000000" w:rsidRPr="00000000" w14:paraId="000001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284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ДЗ-10. В диалоге Х охарактеризуйте общевопросительные предложения по их формальной структуре, коммуникативной структуре и установке говорящего (см.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Баранов, Кобозева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1983), частновопросительные — по семантической сфере действия вопросительного слова, побудительные предложения — по семантическим признакам, выделенным в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Храковский, Володин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1986.</w:t>
      </w:r>
    </w:p>
    <w:p w:rsidR="00000000" w:rsidDel="00000000" w:rsidP="00000000" w:rsidRDefault="00000000" w:rsidRPr="00000000" w14:paraId="000001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7.2. Типовые контрольные задания для проведения промежуточной аттестации.</w:t>
      </w:r>
    </w:p>
    <w:p w:rsidR="00000000" w:rsidDel="00000000" w:rsidP="00000000" w:rsidRDefault="00000000" w:rsidRPr="00000000" w14:paraId="000001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Форма промежуточной аттестации – экзамен (устная форма).</w:t>
      </w:r>
    </w:p>
    <w:p w:rsidR="00000000" w:rsidDel="00000000" w:rsidP="00000000" w:rsidRDefault="00000000" w:rsidRPr="00000000" w14:paraId="000001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Перечень вопросов к экзамену: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Скрытые категории предикатов русского языка (далее РЯ). </w:t>
      </w:r>
    </w:p>
    <w:p w:rsidR="00000000" w:rsidDel="00000000" w:rsidP="00000000" w:rsidRDefault="00000000" w:rsidRPr="00000000" w14:paraId="0000012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Семантические типы предикатов РЯ, основанные на признаках, характеризующих отношение обозначаемой ситуации к оси времени. </w:t>
      </w:r>
    </w:p>
    <w:p w:rsidR="00000000" w:rsidDel="00000000" w:rsidP="00000000" w:rsidRDefault="00000000" w:rsidRPr="00000000" w14:paraId="0000012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Скрытая категория контролируемости предиката в РЯ.</w:t>
      </w:r>
    </w:p>
    <w:p w:rsidR="00000000" w:rsidDel="00000000" w:rsidP="00000000" w:rsidRDefault="00000000" w:rsidRPr="00000000" w14:paraId="0000012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Нетривиальный семантический признак перформативности глагола в РЯ. </w:t>
      </w:r>
    </w:p>
    <w:p w:rsidR="00000000" w:rsidDel="00000000" w:rsidP="00000000" w:rsidRDefault="00000000" w:rsidRPr="00000000" w14:paraId="0000012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Импликативные типы предикатов с сентенциальным актантом в РЯ.</w:t>
      </w:r>
    </w:p>
    <w:p w:rsidR="00000000" w:rsidDel="00000000" w:rsidP="00000000" w:rsidRDefault="00000000" w:rsidRPr="00000000" w14:paraId="0000012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Семантика предиката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мочь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Семантика предикатов долженствования в РЯ.</w:t>
      </w:r>
    </w:p>
    <w:p w:rsidR="00000000" w:rsidDel="00000000" w:rsidP="00000000" w:rsidRDefault="00000000" w:rsidRPr="00000000" w14:paraId="0000012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Определение границ и внутренней структуры семантических классов глаголов при помощи семантических  тестов.</w:t>
      </w:r>
    </w:p>
    <w:p w:rsidR="00000000" w:rsidDel="00000000" w:rsidP="00000000" w:rsidRDefault="00000000" w:rsidRPr="00000000" w14:paraId="0000012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Предикаты, совпадающие по компонентному составу лексического значения, но различающиеся по его логической и / или коммуникативной организации.</w:t>
      </w:r>
    </w:p>
    <w:p w:rsidR="00000000" w:rsidDel="00000000" w:rsidP="00000000" w:rsidRDefault="00000000" w:rsidRPr="00000000" w14:paraId="0000012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Категория определенности / неопределенности в РЯ.</w:t>
      </w:r>
    </w:p>
    <w:p w:rsidR="00000000" w:rsidDel="00000000" w:rsidP="00000000" w:rsidRDefault="00000000" w:rsidRPr="00000000" w14:paraId="0000012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Семантика указательных местоимений в РЯ.</w:t>
      </w:r>
    </w:p>
    <w:p w:rsidR="00000000" w:rsidDel="00000000" w:rsidP="00000000" w:rsidRDefault="00000000" w:rsidRPr="00000000" w14:paraId="0000012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Семантика неопределенных местоимений в РЯ.</w:t>
      </w:r>
    </w:p>
    <w:p w:rsidR="00000000" w:rsidDel="00000000" w:rsidP="00000000" w:rsidRDefault="00000000" w:rsidRPr="00000000" w14:paraId="0000012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Семантика универсальных местоимений в РЯ.</w:t>
      </w:r>
    </w:p>
    <w:p w:rsidR="00000000" w:rsidDel="00000000" w:rsidP="00000000" w:rsidRDefault="00000000" w:rsidRPr="00000000" w14:paraId="0000012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Семантические типы прилагательных в РЯ.</w:t>
      </w:r>
    </w:p>
    <w:p w:rsidR="00000000" w:rsidDel="00000000" w:rsidP="00000000" w:rsidRDefault="00000000" w:rsidRPr="00000000" w14:paraId="0000013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Семантическая основа линейного упорядочивания прилагательных в ИГ РЯ.</w:t>
      </w:r>
    </w:p>
    <w:p w:rsidR="00000000" w:rsidDel="00000000" w:rsidP="00000000" w:rsidRDefault="00000000" w:rsidRPr="00000000" w14:paraId="0000013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Признак предельности прилагательного в РЯ.</w:t>
      </w:r>
    </w:p>
    <w:p w:rsidR="00000000" w:rsidDel="00000000" w:rsidP="00000000" w:rsidRDefault="00000000" w:rsidRPr="00000000" w14:paraId="0000013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Семантические типы наречий в РЯ.</w:t>
      </w:r>
    </w:p>
    <w:p w:rsidR="00000000" w:rsidDel="00000000" w:rsidP="00000000" w:rsidRDefault="00000000" w:rsidRPr="00000000" w14:paraId="0000013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Семантические типы вводных слов в РЯ и их семантико-синтаксические характеристики.</w:t>
      </w:r>
    </w:p>
    <w:p w:rsidR="00000000" w:rsidDel="00000000" w:rsidP="00000000" w:rsidRDefault="00000000" w:rsidRPr="00000000" w14:paraId="0000013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Семантика предлогов в РЯ.</w:t>
      </w:r>
    </w:p>
    <w:p w:rsidR="00000000" w:rsidDel="00000000" w:rsidP="00000000" w:rsidRDefault="00000000" w:rsidRPr="00000000" w14:paraId="0000013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Описание значения русских многозначных предлогов методами структурной и когнитивной семантики.</w:t>
      </w:r>
    </w:p>
    <w:p w:rsidR="00000000" w:rsidDel="00000000" w:rsidP="00000000" w:rsidRDefault="00000000" w:rsidRPr="00000000" w14:paraId="0000013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Значение и сферы действия частицы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не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Семантические обще- и частноотрицательные предложения в РЯ. </w:t>
      </w:r>
    </w:p>
    <w:p w:rsidR="00000000" w:rsidDel="00000000" w:rsidP="00000000" w:rsidRDefault="00000000" w:rsidRPr="00000000" w14:paraId="0000013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Смещенное отрицание и перенос отрицания в РЯ.</w:t>
      </w:r>
    </w:p>
    <w:p w:rsidR="00000000" w:rsidDel="00000000" w:rsidP="00000000" w:rsidRDefault="00000000" w:rsidRPr="00000000" w14:paraId="0000013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Нейтральное и противопоставительное отрицание в РЯ.</w:t>
      </w:r>
    </w:p>
    <w:p w:rsidR="00000000" w:rsidDel="00000000" w:rsidP="00000000" w:rsidRDefault="00000000" w:rsidRPr="00000000" w14:paraId="0000013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Кумулятивное отрицание в РЯ: альтернативные трактовки.</w:t>
      </w:r>
    </w:p>
    <w:p w:rsidR="00000000" w:rsidDel="00000000" w:rsidP="00000000" w:rsidRDefault="00000000" w:rsidRPr="00000000" w14:paraId="0000013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Семантика основных сочинительных союзов РЯ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и, а, или, но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</w:t>
      </w:r>
    </w:p>
    <w:p w:rsidR="00000000" w:rsidDel="00000000" w:rsidP="00000000" w:rsidRDefault="00000000" w:rsidRPr="00000000" w14:paraId="0000013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Семантика подчинительных союзов (на примере условных, причинных и уступительных).</w:t>
      </w:r>
    </w:p>
    <w:p w:rsidR="00000000" w:rsidDel="00000000" w:rsidP="00000000" w:rsidRDefault="00000000" w:rsidRPr="00000000" w14:paraId="0000013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Семантические и прагматические функции русских частиц.</w:t>
      </w:r>
    </w:p>
    <w:p w:rsidR="00000000" w:rsidDel="00000000" w:rsidP="00000000" w:rsidRDefault="00000000" w:rsidRPr="00000000" w14:paraId="0000013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Семантическая структура общевопросительного предложения в РЯ</w:t>
      </w:r>
    </w:p>
    <w:p w:rsidR="00000000" w:rsidDel="00000000" w:rsidP="00000000" w:rsidRDefault="00000000" w:rsidRPr="00000000" w14:paraId="0000013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Семантическая структура частновопросительного предложения в РЯ</w:t>
      </w:r>
    </w:p>
    <w:p w:rsidR="00000000" w:rsidDel="00000000" w:rsidP="00000000" w:rsidRDefault="00000000" w:rsidRPr="00000000" w14:paraId="0000013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Частные значения русского императива.</w:t>
      </w:r>
    </w:p>
    <w:p w:rsidR="00000000" w:rsidDel="00000000" w:rsidP="00000000" w:rsidRDefault="00000000" w:rsidRPr="00000000" w14:paraId="000001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70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484"/>
        <w:gridCol w:w="1311"/>
        <w:gridCol w:w="1795"/>
        <w:gridCol w:w="2230"/>
        <w:gridCol w:w="1885"/>
        <w:tblGridChange w:id="0">
          <w:tblGrid>
            <w:gridCol w:w="2484"/>
            <w:gridCol w:w="1311"/>
            <w:gridCol w:w="1795"/>
            <w:gridCol w:w="2230"/>
            <w:gridCol w:w="1885"/>
          </w:tblGrid>
        </w:tblGridChange>
      </w:tblGrid>
      <w:tr>
        <w:trPr>
          <w:cantSplit w:val="0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ШКАЛА И КРИТЕРИИ ОЦЕНИВАНИЯ результатов обучения (РО) по дисциплине (модулю)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Оценка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РО и</w:t>
              <w:br w:type="textWrapping"/>
              <w:t xml:space="preserve">соответствующие виды оценочных средств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Знания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(виды оценочных средств: домашние задания, проверочное тестирование, ответ на экзамене)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Отсутствие знаний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Фрагментарные знания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Общие, но не структурированные знания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Сформированные систематические знания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Умения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(виды оценочных средств: домашние задания, проверочное тестирование, ответ на экзамене)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Отсутствие умений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В целом успешное, но не систематическое умение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В целом успешное, но содержащее отдельные пробелы умение (допускает неточности непринципиального характера)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Успешное и систематическое умение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Навыки </w:t>
              <w:br w:type="textWrapping"/>
              <w:t xml:space="preserve">(владения, опыт деятельности)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(виды оценочных средств: домашние задания, проверочное тестирование, ответ на экзамене)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Отсутствие навыков (владений, опыта)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Наличие отдельных навыков (наличие фрагментарного опыта)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В целом, сформированные навыки (владения), но используемые не в активной форме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1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Сформированные навыки (владения), применяемые при решении задач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8. Ресурсное обеспечение:</w:t>
      </w:r>
    </w:p>
    <w:p w:rsidR="00000000" w:rsidDel="00000000" w:rsidP="00000000" w:rsidRDefault="00000000" w:rsidRPr="00000000" w14:paraId="0000016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Перечень основной и дополнительной литературы</w:t>
      </w:r>
    </w:p>
    <w:p w:rsidR="00000000" w:rsidDel="00000000" w:rsidP="00000000" w:rsidRDefault="00000000" w:rsidRPr="00000000" w14:paraId="0000016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Основная литература: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8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Апресян Ю. Д. Перформативность в грамматике и в словаре // Апресян Ю. Д. Избранные труды. Т. 2. М., 1995. [С. 199–218.]</w:t>
      </w:r>
    </w:p>
    <w:p w:rsidR="00000000" w:rsidDel="00000000" w:rsidP="00000000" w:rsidRDefault="00000000" w:rsidRPr="00000000" w14:paraId="0000016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8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Кибрик А. Е. и др. Введение в науку о языке // Буки Веди. М., 2019.</w:t>
      </w:r>
    </w:p>
    <w:p w:rsidR="00000000" w:rsidDel="00000000" w:rsidP="00000000" w:rsidRDefault="00000000" w:rsidRPr="00000000" w14:paraId="0000016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8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Кобозева И. М. О границах и внутренней стратификации семантического класса глаголов речи // Вопросы языкознания. 1985. № 6. [С. 95–104.]</w:t>
      </w:r>
    </w:p>
    <w:p w:rsidR="00000000" w:rsidDel="00000000" w:rsidP="00000000" w:rsidRDefault="00000000" w:rsidRPr="00000000" w14:paraId="0000016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Дополнительная литература: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Кобозева И. М. Скрытая именная категория эталонности и эталоны формы в русском языке // Известия РАН. Серия литературы и языка. №6, 2010.</w:t>
      </w:r>
    </w:p>
    <w:p w:rsidR="00000000" w:rsidDel="00000000" w:rsidP="00000000" w:rsidRDefault="00000000" w:rsidRPr="00000000" w14:paraId="0000016A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Кобозева И. М. Немец, англичанин француз и русский: выявление стереотипов национальных характеров через анализ коннотаций этнонимов // Вестник Московского университета. Сер. 9. Филология. 1995. № 3.</w:t>
      </w:r>
    </w:p>
    <w:p w:rsidR="00000000" w:rsidDel="00000000" w:rsidP="00000000" w:rsidRDefault="00000000" w:rsidRPr="00000000" w14:paraId="0000016B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Латышева А. Н. О семантике условных, причинных и уступительных союзов в русском языке // Вестник Московского университета. Сер. 9. Филология. 1982. № 5. [С. 45–59.]</w:t>
      </w:r>
    </w:p>
    <w:p w:rsidR="00000000" w:rsidDel="00000000" w:rsidP="00000000" w:rsidRDefault="00000000" w:rsidRPr="00000000" w14:paraId="0000016C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Федорова О. В. Неопределенное местоимение один в русском языке как показатель интродуктивной референции имени // Вестник Московского университета. Сер. 9. Филология. 1999. № 2.</w:t>
      </w:r>
    </w:p>
    <w:p w:rsidR="00000000" w:rsidDel="00000000" w:rsidP="00000000" w:rsidRDefault="00000000" w:rsidRPr="00000000" w14:paraId="0000016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9. Язык преподавания.</w:t>
      </w:r>
    </w:p>
    <w:p w:rsidR="00000000" w:rsidDel="00000000" w:rsidP="00000000" w:rsidRDefault="00000000" w:rsidRPr="00000000" w14:paraId="000001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Русский язык.</w:t>
      </w:r>
    </w:p>
    <w:p w:rsidR="00000000" w:rsidDel="00000000" w:rsidP="00000000" w:rsidRDefault="00000000" w:rsidRPr="00000000" w14:paraId="0000017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10. Преподаватель (преподаватели).</w:t>
      </w:r>
    </w:p>
    <w:p w:rsidR="00000000" w:rsidDel="00000000" w:rsidP="00000000" w:rsidRDefault="00000000" w:rsidRPr="00000000" w14:paraId="000001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И. М. Кобозева, доктор филологических наук, доцент, профессор кафедры </w:t>
      </w:r>
      <w:r w:rsidDel="00000000" w:rsidR="00000000" w:rsidRPr="00000000">
        <w:rPr>
          <w:sz w:val="24"/>
          <w:szCs w:val="24"/>
          <w:rtl w:val="0"/>
        </w:rPr>
        <w:t xml:space="preserve">теоретической и прикладной лингвистики филологического факультета МГУ им. М.В.Ломоносова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heading=h.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11. Автор программы.</w:t>
      </w:r>
    </w:p>
    <w:p w:rsidR="00000000" w:rsidDel="00000000" w:rsidP="00000000" w:rsidRDefault="00000000" w:rsidRPr="00000000" w14:paraId="0000017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И. М. Кобозева, доктор филологических наук, доцент, профессор</w:t>
      </w:r>
      <w:r w:rsidDel="00000000" w:rsidR="00000000" w:rsidRPr="00000000">
        <w:rPr>
          <w:sz w:val="24"/>
          <w:szCs w:val="24"/>
          <w:rtl w:val="0"/>
        </w:rPr>
        <w:t xml:space="preserve"> кафедры теоретической и прикладной лингвистики филологического факультета МГУ им. М.В.Ломоносова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type w:val="nextPage"/>
      <w:pgSz w:h="16838" w:w="11906" w:orient="portrait"/>
      <w:pgMar w:bottom="1134" w:top="1134" w:left="850" w:right="1701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Times New Roman"/>
  <w:font w:name="Courier New"/>
  <w:font w:name="Calibri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color w:val="000000"/>
        <w:sz w:val="22"/>
        <w:szCs w:val="22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cs="Times New Roman" w:eastAsia="Times New Roman" w:hAnsi="Times New Roman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780" w:hanging="360"/>
      </w:pPr>
      <w:rPr>
        <w:rFonts w:ascii="Calibri" w:cs="Calibri" w:eastAsia="Calibri" w:hAnsi="Calibri"/>
        <w:color w:val="000000"/>
        <w:sz w:val="22"/>
        <w:szCs w:val="22"/>
        <w:vertAlign w:val="baseline"/>
      </w:rPr>
    </w:lvl>
    <w:lvl w:ilvl="1">
      <w:start w:val="1"/>
      <w:numFmt w:val="lowerLetter"/>
      <w:lvlText w:val="%2."/>
      <w:lvlJc w:val="left"/>
      <w:pPr>
        <w:ind w:left="15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2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9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1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8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540" w:hanging="180"/>
      </w:pPr>
      <w:rPr>
        <w:vertAlign w:val="baseli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ru-RU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vVj9qQoDVww34QKvEiqdYFkOPw==">CgMxLjAyCGguZ2pkZ3hzMgloLjMwajB6bGw4AHIhMThUeXp6N19tYUVVUUV0M1FibnlUUXhLeHFvQ1NCNVRk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